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H. C.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Harold C.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 [</w:t>
      </w:r>
      <m:oMath>
        <m:r>
          <m:t>A</m:t>
        </m:r>
        <m:r>
          <m:t>N</m:t>
        </m:r>
        <m:r>
          <m:t>P</m:t>
        </m:r>
        <m:sSub>
          <m:e>
            <m:r>
              <m:t>P</m:t>
            </m:r>
          </m:e>
          <m:sub>
            <m:r>
              <m:t>w</m:t>
            </m:r>
            <m:r>
              <m:t>o</m:t>
            </m:r>
            <m:r>
              <m:t>o</m:t>
            </m:r>
            <m:r>
              <m:t>d</m:t>
            </m:r>
            <m:r>
              <m:t>y</m:t>
            </m:r>
          </m:sub>
        </m:sSub>
      </m:oMath>
      <w:r>
        <w:t xml:space="preserve">;</w:t>
      </w:r>
      <w:r>
        <w:t xml:space="preserve"> </w:t>
      </w:r>
      <w:r>
        <w:t xml:space="preserve">Graumlich et al. (1989)</w:t>
      </w:r>
      <w:r>
        <w:t xml:space="preserve">;</w:t>
      </w:r>
      <w:r>
        <w:t xml:space="preserve"> </w:t>
      </w:r>
      <w:r>
        <w:t xml:space="preserve">Davis et al. (2009)</w:t>
      </w:r>
      <w:r>
        <w:t xml:space="preserve">;</w:t>
      </w:r>
      <w:r>
        <w:t xml:space="preserve"> </w:t>
      </w:r>
      <w:r>
        <w:t xml:space="preserve">Dye et al. (2016)</w:t>
      </w:r>
      <w:r>
        <w:t xml:space="preserve">;</w:t>
      </w:r>
      <w:r>
        <w:t xml:space="preserve"> </w:t>
      </w:r>
      <w:r>
        <w:t xml:space="preserve">Teets, Fraver, Hollinger, et al. (2018)</w:t>
      </w:r>
      <w:r>
        <w:t xml:space="preserve">] 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(Harold C. 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Harold C.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review;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(Harold C. 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EdwardR.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review)</w:t>
      </w:r>
      <w:r>
        <w:t xml:space="preserve">, yet growth sensitivity to their additive or interactive effects, potentially operating over different time windows, is not commonly considered</w:t>
      </w:r>
      <w:r>
        <w:t xml:space="preserve"> </w:t>
      </w:r>
      <w:r>
        <w:t xml:space="preserve">(Foster et al., 2016; but see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 [e.g., height, crown size and position, root mass;</w:t>
      </w:r>
      <w:r>
        <w:t xml:space="preserve"> </w:t>
      </w:r>
      <w:r>
        <w:t xml:space="preserve">Enquist &amp; Niklas (2002)</w:t>
      </w:r>
      <w:r>
        <w:t xml:space="preserve">] and therefore is one of the most important variables influencing growth</w:t>
      </w:r>
      <w:r>
        <w:t xml:space="preserve"> </w:t>
      </w:r>
      <w:r>
        <w:t xml:space="preserve">(Foster et al., 2016; e.g.,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(E. R. 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(Harold C. 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 [ForestGEO;</w:t>
      </w:r>
      <w:r>
        <w:t xml:space="preserve"> </w:t>
      </w:r>
      <w:r>
        <w:t xml:space="preserve">K. J. Anderson-Teixeira, Davies, et al. (2015)</w:t>
      </w:r>
      <w:r>
        <w:t xml:space="preserve">;</w:t>
      </w:r>
      <w:r>
        <w:t xml:space="preserve"> </w:t>
      </w:r>
      <w:r>
        <w:t xml:space="preserve">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4513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 (GAM,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w:t>
      </w:r>
      <w:r>
        <w:t xml:space="preserve"> </w:t>
      </w:r>
      <w:r>
        <w:t xml:space="preserve">(Wood, 2011)</w:t>
      </w:r>
      <w:r>
        <w:t xml:space="preserv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automaticaaly selected by the</w:t>
      </w:r>
      <w:r>
        <w:t xml:space="preserve"> </w:t>
      </w:r>
      <w:r>
        <w:rPr>
          <w:i/>
        </w:rPr>
        <w:t xml:space="preserve">gam</w:t>
      </w:r>
      <w:r>
        <w:t xml:space="preserve"> </w:t>
      </w:r>
      <w:r>
        <w:t xml:space="preserve">function by generalised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Δ</m:t>
        </m:r>
        <m:r>
          <m:t>r</m:t>
        </m:r>
        <m:r>
          <m:t>]</m:t>
        </m:r>
      </m:oMath>
      <w:r>
        <w:t xml:space="preserve"> </w:t>
      </w:r>
      <w:r>
        <w:t xml:space="preserve">would look like this in</w:t>
      </w:r>
      <w:r>
        <w:t xml:space="preserve"> </w:t>
      </w:r>
      <w:r>
        <w:rPr>
          <w:i/>
        </w:rPr>
        <w:t xml:space="preserve">R</w:t>
      </w:r>
      <w:r>
        <w:t xml:space="preserve">:</w:t>
      </w:r>
      <w:r>
        <w:t xml:space="preserve"> </w:t>
      </w:r>
      <w:r>
        <w:rPr>
          <w:i/>
        </w:rPr>
        <w:t xml:space="preserve">lme(</w:t>
      </w:r>
      <m:oMath>
        <m:r>
          <m:t>l</m:t>
        </m:r>
        <m:r>
          <m:t>o</m:t>
        </m:r>
        <m:r>
          <m:t>g</m:t>
        </m:r>
        <m:r>
          <m:t>[</m:t>
        </m:r>
        <m:r>
          <m:t>Δ</m:t>
        </m:r>
        <m:r>
          <m:t>r</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r>
        <w:t xml:space="preserve"> </w:t>
      </w: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[produced using the bootRes package in R;</w:t>
      </w:r>
      <w:r>
        <w:t xml:space="preserve"> </w:t>
      </w:r>
      <w:r>
        <w:t xml:space="preserve">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 Figs. 3, S37, S343),</w:t>
      </w:r>
      <w:r>
        <w:t xml:space="preserve"> </w:t>
      </w:r>
      <w:r>
        <w:rPr>
          <w:i/>
        </w:rPr>
        <w:t xml:space="preserve">climwin</w:t>
      </w:r>
      <w:r>
        <w:t xml:space="preserve"> </w:t>
      </w:r>
      <w:r>
        <w:t xml:space="preserve">identified different climate variables and different time windows (e.g., Fig. S18).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LDW,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 [REFS;</w:t>
      </w:r>
      <w:r>
        <w:t xml:space="preserve"> </w:t>
      </w:r>
      <w:r>
        <w:t xml:space="preserve">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 [REFS;</w:t>
      </w:r>
      <w:r>
        <w:t xml:space="preserve"> </w:t>
      </w:r>
      <w:r>
        <w:t xml:space="preserve">Bennett et al. (2015)</w:t>
      </w:r>
      <w:r>
        <w:t xml:space="preserve">;</w:t>
      </w:r>
      <w:r>
        <w:t xml:space="preserve"> </w:t>
      </w:r>
      <w:r>
        <w:t xml:space="preserve">Hacket-Pain et al. (2016)</w:t>
      </w:r>
      <w:r>
        <w:t xml:space="preserve">;</w:t>
      </w:r>
      <w:r>
        <w:t xml:space="preserve"> </w:t>
      </w:r>
      <w:r>
        <w:t xml:space="preserve">Pretzsch et al. (2018)</w:t>
      </w:r>
      <w:r>
        <w:t xml:space="preserve">;</w:t>
      </w:r>
      <w:r>
        <w:t xml:space="preserve"> </w:t>
      </w:r>
      <w:r>
        <w:t xml:space="preserve">Gillerot et al. (2020)</w:t>
      </w:r>
      <w:r>
        <w:t xml:space="preserve">;</w:t>
      </w:r>
      <w:r>
        <w:t xml:space="preserve"> </w:t>
      </w:r>
      <w:r>
        <w:t xml:space="preserve">McGregor et al. (2020)</w:t>
      </w:r>
      <w:r>
        <w:t xml:space="preserve">].</w:t>
      </w:r>
      <w:r>
        <w:t xml:space="preserve"> </w:t>
      </w:r>
      <w:r>
        <w:t xml:space="preserve">An analytical structure that can account for this and other such DBH-climate interactions</w:t>
      </w:r>
      <w:r>
        <w:t xml:space="preserve"> </w:t>
      </w:r>
      <w:r>
        <w:t xml:space="preserve">(Rollinson et al., n.d.; e.g.,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(Helcoski et al., 2019; e.g.,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Harold C.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(K. J. Anderson-Teixeira, McGarvey, et al., 2015; Helcoski et al., 2019; e.g.,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 [Fig. 6;</w:t>
      </w:r>
      <w:r>
        <w:t xml:space="preserve"> </w:t>
      </w:r>
      <w:r>
        <w:t xml:space="preserve">Brienen et al. (2012)</w:t>
      </w:r>
      <w:r>
        <w:t xml:space="preserve">;</w:t>
      </w:r>
      <w:r>
        <w:t xml:space="preserve"> </w:t>
      </w:r>
      <w:r>
        <w:t xml:space="preserve">(</w:t>
      </w:r>
      <w:r>
        <w:rPr>
          <w:b/>
        </w:rPr>
        <w:t xml:space="preserve">groenendijk_no_201?</w:t>
      </w:r>
      <w:r>
        <w:t xml:space="preserve">)</w:t>
      </w:r>
      <w:r>
        <w:t xml:space="preserve">;</w:t>
      </w:r>
      <w:r>
        <w:t xml:space="preserve"> </w:t>
      </w:r>
      <w:r>
        <w:t xml:space="preserve">Brienen et al. (2017)</w:t>
      </w:r>
      <w:r>
        <w:t xml:space="preserve">;</w:t>
      </w:r>
      <w:r>
        <w:t xml:space="preserve"> </w:t>
      </w:r>
      <w:r>
        <w:t xml:space="preserve">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(Goulden et al., 2011; e.g.,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(Hember et al., 2019; e.g.,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Scotty Creek (Northwest Territory, Canada) before and after 1970.</w:t>
      </w:r>
    </w:p>
    <w:p>
      <w:pPr>
        <w:pStyle w:val="BodyText"/>
      </w:pPr>
      <w:r>
        <w:t xml:space="preserve">Figure S56. (RW_interactions_all)</w:t>
      </w:r>
    </w:p>
    <w:p>
      <w:pPr>
        <w:pStyle w:val="BodyText"/>
      </w:pPr>
      <w:r>
        <w:t xml:space="preserve">Figure S57. (BAI_interactions_all)</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4"/>
    <w:bookmarkStart w:id="274" w:name="References"/>
    <w:p>
      <w:pPr>
        <w:pStyle w:val="Heading1"/>
      </w:pPr>
      <w:r>
        <w:t xml:space="preserve">References</w:t>
      </w:r>
    </w:p>
    <w:bookmarkStart w:id="273"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review).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cook_climate_1989"/>
    <w:p>
      <w:pPr>
        <w:pStyle w:val="Bibliography"/>
      </w:pPr>
      <w:r>
        <w:t xml:space="preserve">Cook, EdwardR.,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10">
        <w:r>
          <w:rPr>
            <w:rStyle w:val="Hyperlink"/>
          </w:rPr>
          <w:t xml:space="preserve">https://doi.org/10.1007/BF00282374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Harold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t xml:space="preserve">UPDATED HIGH</w:t>
      </w:r>
      <w:r>
        <w:t xml:space="preserve">-</w:t>
      </w:r>
      <w:r>
        <w:t xml:space="preserve">RESOLUTION GRIDS OF MONTHLY CLIMATIC OBSERVATIONS</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3">
        <w:r>
          <w:rPr>
            <w:rStyle w:val="Hyperlink"/>
          </w:rPr>
          <w:t xml:space="preserve">https://doi.org/10.1111/j.1467-9868.2010.00749.x</w:t>
        </w:r>
      </w:hyperlink>
    </w:p>
    <w:bookmarkEnd w:id="264"/>
    <w:bookmarkStart w:id="26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5">
        <w:r>
          <w:rPr>
            <w:rStyle w:val="Hyperlink"/>
          </w:rPr>
          <w:t xml:space="preserve">https://doi.org/10.1191/095968399667128516</w:t>
        </w:r>
      </w:hyperlink>
    </w:p>
    <w:bookmarkEnd w:id="266"/>
    <w:bookmarkStart w:id="26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7">
        <w:r>
          <w:rPr>
            <w:rStyle w:val="Hyperlink"/>
          </w:rPr>
          <w:t xml:space="preserve">https://doi.org/10.1016/j.dendro.2012.08.001</w:t>
        </w:r>
      </w:hyperlink>
    </w:p>
    <w:bookmarkEnd w:id="268"/>
    <w:bookmarkStart w:id="27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9">
        <w:r>
          <w:rPr>
            <w:rStyle w:val="Hyperlink"/>
          </w:rPr>
          <w:t xml:space="preserve">https://doi.org/10.1111/ecog.01335</w:t>
        </w:r>
      </w:hyperlink>
    </w:p>
    <w:bookmarkEnd w:id="270"/>
    <w:bookmarkStart w:id="27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1">
        <w:r>
          <w:rPr>
            <w:rStyle w:val="Hyperlink"/>
          </w:rPr>
          <w:t xml:space="preserve">https://doi.org/10.1111/gcb.15092</w:t>
        </w:r>
      </w:hyperlink>
    </w:p>
    <w:bookmarkEnd w:id="272"/>
    <w:bookmarkEnd w:id="273"/>
    <w:bookmarkEnd w:id="2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2021-02-11T22:50:06Z</dcterms:created>
  <dcterms:modified xsi:type="dcterms:W3CDTF">2021-02-11T22:50:06Z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